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F09" w:rsidRDefault="00941067" w:rsidP="00E45A0D">
      <w:pPr>
        <w:rPr>
          <w:b/>
          <w:bCs/>
          <w:sz w:val="28"/>
          <w:szCs w:val="28"/>
        </w:rPr>
      </w:pPr>
      <w:bookmarkStart w:id="0" w:name="_GoBack"/>
      <w:bookmarkEnd w:id="0"/>
      <w:r w:rsidRPr="00941067">
        <w:rPr>
          <w:b/>
          <w:bCs/>
          <w:sz w:val="28"/>
          <w:szCs w:val="28"/>
        </w:rPr>
        <w:t>Jak klasifikovat inovace podle jejich řádu</w:t>
      </w:r>
    </w:p>
    <w:p w:rsidR="00E45A0D" w:rsidRPr="006E380C" w:rsidRDefault="00E45A0D" w:rsidP="006E380C">
      <w:pPr>
        <w:jc w:val="both"/>
        <w:rPr>
          <w:sz w:val="24"/>
          <w:szCs w:val="24"/>
        </w:rPr>
      </w:pPr>
      <w:r w:rsidRPr="006E380C">
        <w:rPr>
          <w:sz w:val="24"/>
          <w:szCs w:val="24"/>
        </w:rPr>
        <w:t xml:space="preserve">Pro klasifikaci inovací podle jejich řádu existuje řada metod. Jako poměrně jednoduchá a přitom velmi informativní se jeví metoda zavedená </w:t>
      </w:r>
      <w:r w:rsidR="006E380C" w:rsidRPr="006E380C">
        <w:rPr>
          <w:sz w:val="24"/>
          <w:szCs w:val="24"/>
        </w:rPr>
        <w:t xml:space="preserve">prof. </w:t>
      </w:r>
      <w:r w:rsidRPr="006E380C">
        <w:rPr>
          <w:sz w:val="24"/>
          <w:szCs w:val="24"/>
        </w:rPr>
        <w:t>Valentou (viz</w:t>
      </w:r>
      <w:r w:rsidR="006E380C" w:rsidRPr="006E380C">
        <w:rPr>
          <w:sz w:val="24"/>
          <w:szCs w:val="24"/>
        </w:rPr>
        <w:t xml:space="preserve"> Valenta F.: </w:t>
      </w:r>
      <w:r w:rsidR="006E380C" w:rsidRPr="006E380C">
        <w:rPr>
          <w:sz w:val="24"/>
          <w:szCs w:val="24"/>
        </w:rPr>
        <w:t>Inovace v manažerské praxi</w:t>
      </w:r>
      <w:r w:rsidR="006E380C" w:rsidRPr="006E380C">
        <w:rPr>
          <w:sz w:val="24"/>
          <w:szCs w:val="24"/>
        </w:rPr>
        <w:t>,</w:t>
      </w:r>
      <w:r w:rsidR="006E380C" w:rsidRPr="006E380C">
        <w:rPr>
          <w:sz w:val="24"/>
          <w:szCs w:val="24"/>
        </w:rPr>
        <w:t xml:space="preserve"> </w:t>
      </w:r>
      <w:r w:rsidR="006E380C" w:rsidRPr="006E380C">
        <w:rPr>
          <w:sz w:val="24"/>
          <w:szCs w:val="24"/>
        </w:rPr>
        <w:t xml:space="preserve">Praha, </w:t>
      </w:r>
      <w:r w:rsidR="006E380C" w:rsidRPr="006E380C">
        <w:rPr>
          <w:sz w:val="24"/>
          <w:szCs w:val="24"/>
        </w:rPr>
        <w:t>Velryba, 2001</w:t>
      </w:r>
      <w:r w:rsidRPr="006E380C">
        <w:rPr>
          <w:sz w:val="24"/>
          <w:szCs w:val="24"/>
        </w:rPr>
        <w:t>), která se používá i v aplikaci InnovationProcessor.</w:t>
      </w:r>
      <w:r w:rsidR="00403537" w:rsidRPr="006E380C">
        <w:rPr>
          <w:sz w:val="24"/>
          <w:szCs w:val="24"/>
        </w:rPr>
        <w:t xml:space="preserve"> Její podstatu ukazuje následující tabulka:</w:t>
      </w:r>
    </w:p>
    <w:p w:rsidR="006E380C" w:rsidRPr="006E380C" w:rsidRDefault="006E380C" w:rsidP="006E380C">
      <w:pPr>
        <w:jc w:val="both"/>
        <w:rPr>
          <w:sz w:val="24"/>
          <w:szCs w:val="24"/>
        </w:rPr>
      </w:pPr>
      <w:r w:rsidRPr="006E380C">
        <w:rPr>
          <w:sz w:val="24"/>
          <w:szCs w:val="24"/>
        </w:rPr>
        <w:t xml:space="preserve">Klasifikace podle řádu inovativnosti se stanoví vyplněním následující tabulky tak, že v ní vyznačí v posledním sloupci </w:t>
      </w:r>
      <w:r w:rsidRPr="006E380C">
        <w:rPr>
          <w:sz w:val="24"/>
          <w:szCs w:val="24"/>
        </w:rPr>
        <w:t>ten řádek, který nejlépe odpovídá charakteru daného posuzovaného inovačního záměru.</w:t>
      </w:r>
      <w:r w:rsidR="00402361">
        <w:rPr>
          <w:sz w:val="24"/>
          <w:szCs w:val="24"/>
        </w:rPr>
        <w:t xml:space="preserve"> Číslo uvedené v prvém sloupci je potom řád dané inovace.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686"/>
        <w:gridCol w:w="2058"/>
        <w:gridCol w:w="48"/>
        <w:gridCol w:w="1889"/>
        <w:gridCol w:w="2197"/>
        <w:gridCol w:w="406"/>
      </w:tblGrid>
      <w:tr w:rsidR="006E380C" w:rsidRPr="00DF2725" w:rsidTr="00A14888">
        <w:trPr>
          <w:trHeight w:val="216"/>
        </w:trPr>
        <w:tc>
          <w:tcPr>
            <w:tcW w:w="670" w:type="dxa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Řád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Označení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Co se zachovává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Co se změní</w:t>
            </w:r>
          </w:p>
        </w:tc>
        <w:tc>
          <w:tcPr>
            <w:tcW w:w="2197" w:type="dxa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6E380C">
              <w:rPr>
                <w:b/>
                <w:sz w:val="24"/>
                <w:szCs w:val="24"/>
              </w:rPr>
              <w:t>Příklad</w:t>
            </w:r>
          </w:p>
        </w:tc>
        <w:tc>
          <w:tcPr>
            <w:tcW w:w="406" w:type="dxa"/>
            <w:shd w:val="clear" w:color="auto" w:fill="D9D9D9" w:themeFill="background1" w:themeFillShade="D9"/>
          </w:tcPr>
          <w:p w:rsidR="006E380C" w:rsidRPr="006E380C" w:rsidRDefault="006E380C" w:rsidP="006E380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E380C" w:rsidRPr="00DF2725" w:rsidTr="006E380C">
        <w:trPr>
          <w:trHeight w:val="91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-1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Degenerace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Nic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Úbytek vlastností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Opotřebení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34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0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Regenerace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Objekt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Obnova vlastností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rPr>
                <w:i/>
              </w:rPr>
            </w:pPr>
            <w:r w:rsidRPr="00DF2725">
              <w:t>Údržba, opravy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A14888">
        <w:trPr>
          <w:trHeight w:val="157"/>
        </w:trPr>
        <w:tc>
          <w:tcPr>
            <w:tcW w:w="8954" w:type="dxa"/>
            <w:gridSpan w:val="7"/>
            <w:shd w:val="clear" w:color="auto" w:fill="D9D9D9" w:themeFill="background1" w:themeFillShade="D9"/>
            <w:vAlign w:val="center"/>
          </w:tcPr>
          <w:p w:rsidR="006E380C" w:rsidRPr="006E380C" w:rsidRDefault="006E380C" w:rsidP="006E380C">
            <w:pPr>
              <w:spacing w:after="0" w:line="240" w:lineRule="auto"/>
              <w:rPr>
                <w:b/>
                <w:bCs/>
              </w:rPr>
            </w:pPr>
            <w:r w:rsidRPr="006E380C">
              <w:rPr>
                <w:b/>
                <w:bCs/>
              </w:rPr>
              <w:t>RACIONALIZACE</w:t>
            </w:r>
          </w:p>
        </w:tc>
      </w:tr>
      <w:tr w:rsidR="006E380C" w:rsidRPr="00DF2725" w:rsidTr="006E380C">
        <w:trPr>
          <w:trHeight w:val="190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Změna kvanta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Všechny vlastnosti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Četnost faktorů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Další pracovní síly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02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2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Intenzita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Kvality a propojení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Rychlost operací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Zrychlený posun pásu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34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3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Reorganizace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Kvalitativní vlastnosti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Dělba činností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Přesuny operací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66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Kvalitativní adaptace</w:t>
            </w:r>
          </w:p>
        </w:tc>
        <w:tc>
          <w:tcPr>
            <w:tcW w:w="2106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Kvalita pro uživatele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Vazba na jiné faktory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Technologie konstrukce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A14888">
        <w:trPr>
          <w:trHeight w:val="195"/>
        </w:trPr>
        <w:tc>
          <w:tcPr>
            <w:tcW w:w="8954" w:type="dxa"/>
            <w:gridSpan w:val="7"/>
            <w:shd w:val="clear" w:color="auto" w:fill="D9D9D9" w:themeFill="background1" w:themeFillShade="D9"/>
          </w:tcPr>
          <w:p w:rsidR="006E380C" w:rsidRPr="006E380C" w:rsidRDefault="006E380C" w:rsidP="006E380C">
            <w:pPr>
              <w:spacing w:after="0" w:line="240" w:lineRule="auto"/>
              <w:rPr>
                <w:b/>
                <w:bCs/>
              </w:rPr>
            </w:pPr>
            <w:r w:rsidRPr="006E380C">
              <w:rPr>
                <w:b/>
                <w:bCs/>
              </w:rPr>
              <w:t>KVALITATIVNÍ KONTINUÁLNÍ INOVACE</w:t>
            </w:r>
          </w:p>
        </w:tc>
      </w:tr>
      <w:tr w:rsidR="006E380C" w:rsidRPr="00DF2725" w:rsidTr="006E380C">
        <w:trPr>
          <w:trHeight w:val="222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5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Varianta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Konstrukční řešení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Dílčí kvalita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Rychlejší stroj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122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Generace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Konstrukční koncepce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Konstrukční řešení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Stroj s elektronikou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A14888">
        <w:trPr>
          <w:trHeight w:val="152"/>
        </w:trPr>
        <w:tc>
          <w:tcPr>
            <w:tcW w:w="8954" w:type="dxa"/>
            <w:gridSpan w:val="7"/>
            <w:shd w:val="clear" w:color="auto" w:fill="D9D9D9" w:themeFill="background1" w:themeFillShade="D9"/>
          </w:tcPr>
          <w:p w:rsidR="006E380C" w:rsidRPr="006E380C" w:rsidRDefault="006E380C" w:rsidP="006E380C">
            <w:pPr>
              <w:spacing w:after="0" w:line="240" w:lineRule="auto"/>
              <w:rPr>
                <w:b/>
                <w:bCs/>
              </w:rPr>
            </w:pPr>
            <w:r w:rsidRPr="006E380C">
              <w:rPr>
                <w:b/>
                <w:bCs/>
              </w:rPr>
              <w:t>KVALITATIVNÍ DISKONTINUÁLNÍ INOVACE</w:t>
            </w:r>
          </w:p>
        </w:tc>
      </w:tr>
      <w:tr w:rsidR="006E380C" w:rsidRPr="00DF2725" w:rsidTr="006E380C">
        <w:trPr>
          <w:trHeight w:val="161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7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Druh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Princip technologie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Konstrukční princip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Tryskový stav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6E380C">
        <w:trPr>
          <w:trHeight w:val="204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Rod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Příslušnost ke kmeni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Princip technologie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Vznášedlo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  <w:tr w:rsidR="006E380C" w:rsidRPr="00DF2725" w:rsidTr="00A14888">
        <w:trPr>
          <w:trHeight w:val="197"/>
        </w:trPr>
        <w:tc>
          <w:tcPr>
            <w:tcW w:w="8954" w:type="dxa"/>
            <w:gridSpan w:val="7"/>
            <w:shd w:val="clear" w:color="auto" w:fill="D9D9D9" w:themeFill="background1" w:themeFillShade="D9"/>
          </w:tcPr>
          <w:p w:rsidR="006E380C" w:rsidRPr="006E380C" w:rsidRDefault="006E380C" w:rsidP="006E380C">
            <w:pPr>
              <w:spacing w:after="0" w:line="240" w:lineRule="auto"/>
              <w:rPr>
                <w:b/>
                <w:bCs/>
              </w:rPr>
            </w:pPr>
            <w:r w:rsidRPr="006E380C">
              <w:rPr>
                <w:b/>
                <w:bCs/>
              </w:rPr>
              <w:t xml:space="preserve">TECHNOLOGICKÝ PŘEVRAT </w:t>
            </w:r>
          </w:p>
        </w:tc>
      </w:tr>
      <w:tr w:rsidR="006E380C" w:rsidRPr="00DF2725" w:rsidTr="00A14888">
        <w:trPr>
          <w:trHeight w:val="141"/>
        </w:trPr>
        <w:tc>
          <w:tcPr>
            <w:tcW w:w="670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  <w:jc w:val="center"/>
            </w:pPr>
            <w:r w:rsidRPr="00DF2725">
              <w:t>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Kmen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Nic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Přístup k přírodě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  <w:r w:rsidRPr="00DF2725">
              <w:t>Genová manipulace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6E380C" w:rsidRPr="00DF2725" w:rsidRDefault="006E380C" w:rsidP="006E380C">
            <w:pPr>
              <w:spacing w:after="0" w:line="240" w:lineRule="auto"/>
            </w:pPr>
          </w:p>
        </w:tc>
      </w:tr>
    </w:tbl>
    <w:p w:rsidR="00403537" w:rsidRDefault="00403537" w:rsidP="00402361">
      <w:pPr>
        <w:spacing w:before="120" w:after="0"/>
        <w:jc w:val="both"/>
        <w:rPr>
          <w:sz w:val="24"/>
          <w:szCs w:val="24"/>
        </w:rPr>
      </w:pPr>
      <w:r w:rsidRPr="00402361">
        <w:rPr>
          <w:sz w:val="24"/>
          <w:szCs w:val="24"/>
        </w:rPr>
        <w:t>Struktura tabulky odráží empirickou zkušenost, že dopad různých inovací je různý. Tabulka dělí inovace na celkem devět kategorií, každé kategorii odpovídá jeden řádek. Kategorie jsou uspořádány sestupně podle</w:t>
      </w:r>
      <w:r w:rsidR="006E380C" w:rsidRPr="00402361">
        <w:rPr>
          <w:sz w:val="24"/>
          <w:szCs w:val="24"/>
        </w:rPr>
        <w:t xml:space="preserve"> </w:t>
      </w:r>
      <w:r w:rsidRPr="00402361">
        <w:rPr>
          <w:sz w:val="24"/>
          <w:szCs w:val="24"/>
        </w:rPr>
        <w:t>velikosti jejich dopadu. Na</w:t>
      </w:r>
      <w:r w:rsidR="006E380C" w:rsidRPr="00402361">
        <w:rPr>
          <w:sz w:val="24"/>
          <w:szCs w:val="24"/>
        </w:rPr>
        <w:t xml:space="preserve"> </w:t>
      </w:r>
      <w:r w:rsidRPr="00402361">
        <w:rPr>
          <w:sz w:val="24"/>
          <w:szCs w:val="24"/>
        </w:rPr>
        <w:t xml:space="preserve">první řádce jsou inovace, které </w:t>
      </w:r>
      <w:r w:rsidR="006E380C" w:rsidRPr="00402361">
        <w:rPr>
          <w:sz w:val="24"/>
          <w:szCs w:val="24"/>
        </w:rPr>
        <w:t>směřují opačným směrem, tj. jedná se o degeneraci.</w:t>
      </w:r>
      <w:r w:rsidRPr="00402361">
        <w:rPr>
          <w:sz w:val="24"/>
          <w:szCs w:val="24"/>
        </w:rPr>
        <w:t xml:space="preserve"> Např. na řádce 5 jsou tzv. </w:t>
      </w:r>
      <w:r w:rsidR="006E380C" w:rsidRPr="00402361">
        <w:rPr>
          <w:sz w:val="24"/>
          <w:szCs w:val="24"/>
        </w:rPr>
        <w:t>„Kvalitativní kontinuální inovace“ přinášející dílčí novou kvalitu</w:t>
      </w:r>
      <w:r w:rsidR="00402361" w:rsidRPr="00402361">
        <w:rPr>
          <w:sz w:val="24"/>
          <w:szCs w:val="24"/>
        </w:rPr>
        <w:t xml:space="preserve">. </w:t>
      </w:r>
      <w:r w:rsidRPr="00402361">
        <w:rPr>
          <w:sz w:val="24"/>
          <w:szCs w:val="24"/>
        </w:rPr>
        <w:t xml:space="preserve"> Na posl</w:t>
      </w:r>
      <w:r w:rsidR="00402361" w:rsidRPr="00402361">
        <w:rPr>
          <w:sz w:val="24"/>
          <w:szCs w:val="24"/>
        </w:rPr>
        <w:t>e</w:t>
      </w:r>
      <w:r w:rsidRPr="00402361">
        <w:rPr>
          <w:sz w:val="24"/>
          <w:szCs w:val="24"/>
        </w:rPr>
        <w:t>dní, deváté řádce je kategorie disruptivních inovací</w:t>
      </w:r>
      <w:r w:rsidR="00402361" w:rsidRPr="00402361">
        <w:rPr>
          <w:sz w:val="24"/>
          <w:szCs w:val="24"/>
        </w:rPr>
        <w:t xml:space="preserve"> označovaná ve Valentově notaci jako „Technologický převrat. </w:t>
      </w:r>
      <w:r w:rsidRPr="00402361">
        <w:rPr>
          <w:sz w:val="24"/>
          <w:szCs w:val="24"/>
        </w:rPr>
        <w:t xml:space="preserve">Pro lepší pochopení </w:t>
      </w:r>
      <w:r w:rsidR="00402361" w:rsidRPr="00402361">
        <w:rPr>
          <w:sz w:val="24"/>
          <w:szCs w:val="24"/>
        </w:rPr>
        <w:t>jednotlivých kategorií je ve a třetím a čtvrtém sloupci uvedeno co se danou inovací zachová, resp. změní. sloupcích</w:t>
      </w:r>
      <w:r w:rsidRPr="00402361">
        <w:rPr>
          <w:sz w:val="24"/>
          <w:szCs w:val="24"/>
        </w:rPr>
        <w:t>.</w:t>
      </w:r>
      <w:r w:rsidR="00402361" w:rsidRPr="00402361">
        <w:rPr>
          <w:sz w:val="24"/>
          <w:szCs w:val="24"/>
        </w:rPr>
        <w:t xml:space="preserve"> V pátém sloupci jsou potom uvedeny příklady inovací z dané kategorie a ve druhém typové označení každé kategorie.</w:t>
      </w:r>
    </w:p>
    <w:p w:rsidR="00402361" w:rsidRPr="00402361" w:rsidRDefault="00402361" w:rsidP="00402361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Řádky tabulky jsou ještě členěny do skupin, jejichž jména „Racionalizace“, „Kvalitativní kontinuální inovace“, „Kvalitativní diskontinuální inovace“ a „Technologický převrat“ již sama naznačují kvalitativní rozdíly mezi řádky příslušnými k jednotlivým skupinám a růst dopadu inovace s rostoucím řádem.</w:t>
      </w:r>
    </w:p>
    <w:sectPr w:rsidR="00402361" w:rsidRPr="0040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80"/>
    <w:multiLevelType w:val="hybridMultilevel"/>
    <w:tmpl w:val="EF5EA2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67"/>
    <w:rsid w:val="00402361"/>
    <w:rsid w:val="00403537"/>
    <w:rsid w:val="00670F09"/>
    <w:rsid w:val="006E380C"/>
    <w:rsid w:val="007531BB"/>
    <w:rsid w:val="00941067"/>
    <w:rsid w:val="00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5D94"/>
  <w15:chartTrackingRefBased/>
  <w15:docId w15:val="{4908681A-4FAB-46C5-806C-0178F8E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80C"/>
    <w:pPr>
      <w:spacing w:before="120" w:after="0" w:line="240" w:lineRule="auto"/>
      <w:ind w:left="720"/>
      <w:jc w:val="both"/>
    </w:pPr>
    <w:rPr>
      <w:rFonts w:ascii="Arial" w:hAnsi="Arial" w:cs="Arial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5</cp:revision>
  <dcterms:created xsi:type="dcterms:W3CDTF">2020-02-01T17:21:00Z</dcterms:created>
  <dcterms:modified xsi:type="dcterms:W3CDTF">2020-02-19T11:42:00Z</dcterms:modified>
</cp:coreProperties>
</file>