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0D" w:rsidRPr="00F16A0D" w:rsidRDefault="0090551E" w:rsidP="00E37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zpracovat </w:t>
      </w:r>
      <w:r w:rsidR="0093662C">
        <w:rPr>
          <w:b/>
          <w:sz w:val="28"/>
          <w:szCs w:val="28"/>
        </w:rPr>
        <w:t>S</w:t>
      </w:r>
      <w:r w:rsidR="00F16A0D" w:rsidRPr="00F16A0D">
        <w:rPr>
          <w:b/>
          <w:sz w:val="28"/>
          <w:szCs w:val="28"/>
        </w:rPr>
        <w:t>tudi</w:t>
      </w:r>
      <w:r>
        <w:rPr>
          <w:b/>
          <w:sz w:val="28"/>
          <w:szCs w:val="28"/>
        </w:rPr>
        <w:t>i</w:t>
      </w:r>
      <w:r w:rsidR="00F16A0D" w:rsidRPr="00F16A0D">
        <w:rPr>
          <w:b/>
          <w:sz w:val="28"/>
          <w:szCs w:val="28"/>
        </w:rPr>
        <w:t xml:space="preserve"> proveditelnosti</w:t>
      </w:r>
    </w:p>
    <w:p w:rsidR="0090551E" w:rsidRDefault="0090551E" w:rsidP="00F16A0D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167EA" w:rsidRDefault="00C118E0" w:rsidP="00DA5CAE">
      <w:pPr>
        <w:spacing w:line="259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Zpracování</w:t>
      </w:r>
      <w:r w:rsidRPr="00E167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E167EA" w:rsidRPr="00E167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>S</w:t>
      </w:r>
      <w:r w:rsidR="0090551E" w:rsidRPr="00E167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cs-CZ"/>
        </w:rPr>
        <w:t xml:space="preserve">tudie proveditelnosti 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(anglicky </w:t>
      </w:r>
      <w:r w:rsidR="00E167EA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F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easibility study) představuje</w:t>
      </w:r>
      <w:r w:rsidR="00E167EA" w:rsidRPr="00E167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nejvýznam</w:t>
      </w:r>
      <w:r w:rsidR="00E167EA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E167EA" w:rsidRPr="00E167EA">
        <w:rPr>
          <w:rFonts w:asciiTheme="minorHAnsi" w:hAnsiTheme="minorHAnsi" w:cstheme="minorHAnsi"/>
          <w:color w:val="000000" w:themeColor="text1"/>
          <w:sz w:val="24"/>
          <w:szCs w:val="24"/>
        </w:rPr>
        <w:t>ější</w:t>
      </w:r>
      <w:r w:rsidR="00E167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nástroj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</w:t>
      </w:r>
      <w:r w:rsidR="00E167EA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podrobného 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hodnocení inovačního (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i 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obecně podnikatelského</w:t>
      </w:r>
      <w:r w:rsidR="00E167EA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či investičního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) záměru.</w:t>
      </w:r>
      <w:r w:rsidR="00E167EA" w:rsidRPr="00E167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67EA" w:rsidRPr="00E167E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Jejím cílem je zhodnotit (zejména) z ekonomického a finančního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hlediska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,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zda je či není výhodné</w:t>
      </w:r>
      <w:r w:rsidR="00E167EA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posuzovaný 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záměr</w:t>
      </w:r>
      <w:r w:rsid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(či projekt)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realizovat. </w:t>
      </w:r>
    </w:p>
    <w:p w:rsidR="00E167EA" w:rsidRPr="00E167EA" w:rsidRDefault="00E167EA" w:rsidP="00DA5CAE">
      <w:pPr>
        <w:spacing w:before="120" w:line="259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Studie proveditelnosti zpravidla vychází ze zpracované Předběžné studie proveditelnosti, která má podobnou struktura a představuje její jednodušší a méně p</w:t>
      </w:r>
      <w:r w:rsidR="00BA6C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odrobnou 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variantu. </w:t>
      </w:r>
    </w:p>
    <w:p w:rsidR="00C118E0" w:rsidRDefault="0090551E" w:rsidP="00DA5CAE">
      <w:pPr>
        <w:spacing w:before="120" w:line="259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Na rozdíl od Podnikatelského plánu </w:t>
      </w:r>
      <w:r w:rsidR="00BA6C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S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tudie proveditelnosti </w:t>
      </w:r>
      <w:r w:rsid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často</w:t>
      </w:r>
      <w:r w:rsidR="00C118E0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zva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ž</w:t>
      </w:r>
      <w:r w:rsidR="00C118E0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uje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různé varianty realizace inovačního záměru a navzájem je porovnáv</w:t>
      </w:r>
      <w:r w:rsidR="00C118E0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á</w:t>
      </w:r>
      <w:r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. </w:t>
      </w:r>
    </w:p>
    <w:p w:rsidR="00D03F19" w:rsidRPr="00D03F19" w:rsidRDefault="00D03F19" w:rsidP="00DA5CAE">
      <w:pPr>
        <w:spacing w:before="120" w:line="259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 w:rsidRPr="00D03F19">
        <w:rPr>
          <w:color w:val="000000" w:themeColor="text1"/>
          <w:sz w:val="24"/>
          <w:szCs w:val="24"/>
        </w:rPr>
        <w:t xml:space="preserve">Neexistuje jednotný univerzální předpis, jakou má mít </w:t>
      </w:r>
      <w:r>
        <w:rPr>
          <w:color w:val="000000" w:themeColor="text1"/>
          <w:sz w:val="24"/>
          <w:szCs w:val="24"/>
        </w:rPr>
        <w:t xml:space="preserve">Studie proveditelnosti </w:t>
      </w:r>
      <w:r w:rsidRPr="00D03F19">
        <w:rPr>
          <w:color w:val="000000" w:themeColor="text1"/>
          <w:sz w:val="24"/>
          <w:szCs w:val="24"/>
        </w:rPr>
        <w:t xml:space="preserve">strukturu. V různých pramenech nacházíme řadu doporučených osnov, které jsou vhodné pro ten či onen typ projektů; všechny jsou si však velmi podobné. Ukázková struktura </w:t>
      </w:r>
      <w:r>
        <w:rPr>
          <w:color w:val="000000" w:themeColor="text1"/>
          <w:sz w:val="24"/>
          <w:szCs w:val="24"/>
        </w:rPr>
        <w:t xml:space="preserve">Studie proveditelnosti </w:t>
      </w:r>
      <w:r w:rsidRPr="00D03F19">
        <w:rPr>
          <w:color w:val="000000" w:themeColor="text1"/>
          <w:sz w:val="24"/>
          <w:szCs w:val="24"/>
        </w:rPr>
        <w:t>je uvedena v</w:t>
      </w:r>
      <w:r w:rsidR="00DA5CAE">
        <w:rPr>
          <w:color w:val="000000" w:themeColor="text1"/>
          <w:sz w:val="24"/>
          <w:szCs w:val="24"/>
        </w:rPr>
        <w:t> </w:t>
      </w:r>
      <w:r w:rsidRPr="00D03F19">
        <w:rPr>
          <w:color w:val="000000" w:themeColor="text1"/>
          <w:sz w:val="24"/>
          <w:szCs w:val="24"/>
        </w:rPr>
        <w:t>šabloně</w:t>
      </w:r>
      <w:r w:rsidR="00DA5CAE">
        <w:rPr>
          <w:color w:val="000000" w:themeColor="text1"/>
          <w:sz w:val="24"/>
          <w:szCs w:val="24"/>
        </w:rPr>
        <w:t xml:space="preserve"> </w:t>
      </w:r>
      <w:r w:rsidR="00DA5CAE" w:rsidRPr="00DA5CAE">
        <w:rPr>
          <w:b/>
          <w:bCs/>
          <w:color w:val="000000" w:themeColor="text1"/>
          <w:sz w:val="24"/>
          <w:szCs w:val="24"/>
        </w:rPr>
        <w:t>Struktura studie proveditelnosti</w:t>
      </w:r>
      <w:r w:rsidR="00DA5CAE">
        <w:rPr>
          <w:color w:val="000000" w:themeColor="text1"/>
          <w:sz w:val="24"/>
          <w:szCs w:val="24"/>
        </w:rPr>
        <w:t>.</w:t>
      </w:r>
    </w:p>
    <w:p w:rsidR="0090551E" w:rsidRPr="00E167EA" w:rsidRDefault="00D03F19" w:rsidP="00DA5CAE">
      <w:pPr>
        <w:spacing w:before="120" w:line="259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/>
          <w:color w:val="000000" w:themeColor="text1"/>
          <w:sz w:val="24"/>
          <w:szCs w:val="24"/>
          <w:lang w:eastAsia="cs-CZ"/>
        </w:rPr>
        <w:t>Studie proveditelnosti by měla být stručná a přehledná a měla by obsahovat všechna relevant</w:t>
      </w:r>
      <w:r w:rsidR="008E39F3">
        <w:rPr>
          <w:rFonts w:eastAsia="Times New Roman"/>
          <w:color w:val="000000" w:themeColor="text1"/>
          <w:sz w:val="24"/>
          <w:szCs w:val="24"/>
          <w:lang w:eastAsia="cs-CZ"/>
        </w:rPr>
        <w:t>n</w:t>
      </w:r>
      <w:r>
        <w:rPr>
          <w:rFonts w:eastAsia="Times New Roman"/>
          <w:color w:val="000000" w:themeColor="text1"/>
          <w:sz w:val="24"/>
          <w:szCs w:val="24"/>
          <w:lang w:eastAsia="cs-CZ"/>
        </w:rPr>
        <w:t>í fakt</w:t>
      </w:r>
      <w:r w:rsidR="008E39F3">
        <w:rPr>
          <w:rFonts w:eastAsia="Times New Roman"/>
          <w:color w:val="000000" w:themeColor="text1"/>
          <w:sz w:val="24"/>
          <w:szCs w:val="24"/>
          <w:lang w:eastAsia="cs-CZ"/>
        </w:rPr>
        <w:t>a</w:t>
      </w:r>
      <w:r>
        <w:rPr>
          <w:rFonts w:eastAsia="Times New Roman"/>
          <w:color w:val="000000" w:themeColor="text1"/>
          <w:sz w:val="24"/>
          <w:szCs w:val="24"/>
          <w:lang w:eastAsia="cs-CZ"/>
        </w:rPr>
        <w:t xml:space="preserve">. </w:t>
      </w:r>
      <w:r w:rsidR="00C118E0" w:rsidRPr="00E167EA">
        <w:rPr>
          <w:rFonts w:eastAsia="Times New Roman"/>
          <w:color w:val="000000" w:themeColor="text1"/>
          <w:sz w:val="24"/>
          <w:szCs w:val="24"/>
          <w:lang w:eastAsia="cs-CZ"/>
        </w:rPr>
        <w:t xml:space="preserve">Všechny varianty a jejich ekonomické dopady </w:t>
      </w:r>
      <w:r>
        <w:rPr>
          <w:rFonts w:eastAsia="Times New Roman"/>
          <w:color w:val="000000" w:themeColor="text1"/>
          <w:sz w:val="24"/>
          <w:szCs w:val="24"/>
          <w:lang w:eastAsia="cs-CZ"/>
        </w:rPr>
        <w:t xml:space="preserve">by v ní měly být </w:t>
      </w:r>
      <w:r w:rsidR="00C118E0" w:rsidRPr="00E167EA">
        <w:rPr>
          <w:rFonts w:eastAsia="Times New Roman"/>
          <w:color w:val="000000" w:themeColor="text1"/>
          <w:sz w:val="24"/>
          <w:szCs w:val="24"/>
          <w:lang w:eastAsia="cs-CZ"/>
        </w:rPr>
        <w:t>již kvantifikovány v podobě finančních toků</w:t>
      </w:r>
      <w:r>
        <w:rPr>
          <w:rFonts w:eastAsia="Times New Roman"/>
          <w:color w:val="000000" w:themeColor="text1"/>
          <w:sz w:val="24"/>
          <w:szCs w:val="24"/>
          <w:lang w:eastAsia="cs-CZ"/>
        </w:rPr>
        <w:t xml:space="preserve"> tak</w:t>
      </w:r>
      <w:r w:rsidR="00C118E0" w:rsidRPr="00E167EA">
        <w:rPr>
          <w:rFonts w:eastAsia="Times New Roman"/>
          <w:color w:val="000000" w:themeColor="text1"/>
          <w:sz w:val="24"/>
          <w:szCs w:val="24"/>
          <w:lang w:eastAsia="cs-CZ"/>
        </w:rPr>
        <w:t xml:space="preserve">, </w:t>
      </w:r>
      <w:r>
        <w:rPr>
          <w:rFonts w:eastAsia="Times New Roman"/>
          <w:color w:val="000000" w:themeColor="text1"/>
          <w:sz w:val="24"/>
          <w:szCs w:val="24"/>
          <w:lang w:eastAsia="cs-CZ"/>
        </w:rPr>
        <w:t xml:space="preserve">aby </w:t>
      </w:r>
      <w:r w:rsidR="00C118E0" w:rsidRPr="00E167EA">
        <w:rPr>
          <w:rFonts w:eastAsia="Times New Roman"/>
          <w:color w:val="000000" w:themeColor="text1"/>
          <w:sz w:val="24"/>
          <w:szCs w:val="24"/>
          <w:lang w:eastAsia="cs-CZ"/>
        </w:rPr>
        <w:t>umož</w:t>
      </w:r>
      <w:r>
        <w:rPr>
          <w:rFonts w:eastAsia="Times New Roman"/>
          <w:color w:val="000000" w:themeColor="text1"/>
          <w:sz w:val="24"/>
          <w:szCs w:val="24"/>
          <w:lang w:eastAsia="cs-CZ"/>
        </w:rPr>
        <w:t>nil</w:t>
      </w:r>
      <w:r w:rsidR="008E39F3">
        <w:rPr>
          <w:rFonts w:eastAsia="Times New Roman"/>
          <w:color w:val="000000" w:themeColor="text1"/>
          <w:sz w:val="24"/>
          <w:szCs w:val="24"/>
          <w:lang w:eastAsia="cs-CZ"/>
        </w:rPr>
        <w:t>y</w:t>
      </w:r>
      <w:r>
        <w:rPr>
          <w:rFonts w:eastAsia="Times New Roman"/>
          <w:color w:val="000000" w:themeColor="text1"/>
          <w:sz w:val="24"/>
          <w:szCs w:val="24"/>
          <w:lang w:eastAsia="cs-CZ"/>
        </w:rPr>
        <w:t xml:space="preserve"> </w:t>
      </w:r>
      <w:r w:rsidR="00C118E0" w:rsidRPr="00E167EA">
        <w:rPr>
          <w:rFonts w:eastAsia="Times New Roman"/>
          <w:color w:val="000000" w:themeColor="text1"/>
          <w:sz w:val="24"/>
          <w:szCs w:val="24"/>
          <w:lang w:eastAsia="cs-CZ"/>
        </w:rPr>
        <w:t xml:space="preserve">jejich kvantitativní srovnání. 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Jejím výstupem by mělo být jednoznačné doporučení</w:t>
      </w:r>
      <w:r w:rsidR="00E167EA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,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 zda v realizaci inovačního záměru dále pokračovat či nikoliv</w:t>
      </w:r>
      <w:r w:rsidR="00D4378F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, případně za jakých podmínek</w:t>
      </w:r>
      <w:r w:rsidR="0090551E" w:rsidRPr="00E167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.</w:t>
      </w:r>
    </w:p>
    <w:p w:rsidR="00E167EA" w:rsidRPr="002B2F8E" w:rsidRDefault="00C118E0" w:rsidP="00DA5CAE">
      <w:pPr>
        <w:pStyle w:val="Normlnweb"/>
        <w:spacing w:before="120" w:beforeAutospacing="0" w:after="120" w:afterAutospacing="0" w:line="259" w:lineRule="auto"/>
        <w:jc w:val="both"/>
        <w:rPr>
          <w:rFonts w:asciiTheme="minorHAnsi" w:hAnsiTheme="minorHAnsi" w:cstheme="minorHAnsi"/>
          <w:color w:val="545454"/>
          <w:sz w:val="18"/>
          <w:szCs w:val="18"/>
        </w:rPr>
      </w:pPr>
      <w:r w:rsidRPr="002B2F8E">
        <w:rPr>
          <w:rFonts w:asciiTheme="minorHAnsi" w:hAnsiTheme="minorHAnsi" w:cstheme="minorHAnsi"/>
          <w:bCs/>
          <w:color w:val="000000" w:themeColor="text1"/>
        </w:rPr>
        <w:t xml:space="preserve">V důsledku výše uvedeného je její zpracování </w:t>
      </w:r>
      <w:r w:rsidR="00E167EA" w:rsidRPr="002B2F8E">
        <w:rPr>
          <w:rFonts w:asciiTheme="minorHAnsi" w:hAnsiTheme="minorHAnsi" w:cstheme="minorHAnsi"/>
          <w:bCs/>
          <w:color w:val="000000" w:themeColor="text1"/>
        </w:rPr>
        <w:t>náročnější a vyžaduje delší časový interval</w:t>
      </w:r>
      <w:r w:rsidR="00085675" w:rsidRPr="002B2F8E">
        <w:rPr>
          <w:rFonts w:asciiTheme="minorHAnsi" w:hAnsiTheme="minorHAnsi" w:cstheme="minorHAnsi"/>
          <w:bCs/>
          <w:color w:val="000000" w:themeColor="text1"/>
        </w:rPr>
        <w:t>; jak s</w:t>
      </w:r>
      <w:r w:rsidR="00E167EA" w:rsidRPr="002B2F8E">
        <w:rPr>
          <w:rFonts w:asciiTheme="minorHAnsi" w:hAnsiTheme="minorHAnsi" w:cstheme="minorHAnsi"/>
          <w:color w:val="000000" w:themeColor="text1"/>
        </w:rPr>
        <w:t>vým rozsahem</w:t>
      </w:r>
      <w:r w:rsidR="00085675" w:rsidRPr="002B2F8E">
        <w:rPr>
          <w:rFonts w:asciiTheme="minorHAnsi" w:hAnsiTheme="minorHAnsi" w:cstheme="minorHAnsi"/>
          <w:color w:val="000000" w:themeColor="text1"/>
        </w:rPr>
        <w:t xml:space="preserve">, tak i </w:t>
      </w:r>
      <w:r w:rsidR="00E167EA" w:rsidRPr="002B2F8E">
        <w:rPr>
          <w:rFonts w:asciiTheme="minorHAnsi" w:hAnsiTheme="minorHAnsi" w:cstheme="minorHAnsi"/>
          <w:color w:val="000000" w:themeColor="text1"/>
        </w:rPr>
        <w:t xml:space="preserve">náročností </w:t>
      </w:r>
      <w:r w:rsidR="00085675" w:rsidRPr="002B2F8E">
        <w:rPr>
          <w:rFonts w:asciiTheme="minorHAnsi" w:hAnsiTheme="minorHAnsi" w:cstheme="minorHAnsi"/>
          <w:color w:val="000000" w:themeColor="text1"/>
        </w:rPr>
        <w:t xml:space="preserve">zpracování </w:t>
      </w:r>
      <w:r w:rsidR="00E167EA" w:rsidRPr="002B2F8E">
        <w:rPr>
          <w:rFonts w:asciiTheme="minorHAnsi" w:hAnsiTheme="minorHAnsi" w:cstheme="minorHAnsi"/>
          <w:color w:val="000000" w:themeColor="text1"/>
        </w:rPr>
        <w:t xml:space="preserve">je </w:t>
      </w:r>
      <w:r w:rsidR="00085675" w:rsidRPr="002B2F8E">
        <w:rPr>
          <w:rFonts w:asciiTheme="minorHAnsi" w:hAnsiTheme="minorHAnsi" w:cstheme="minorHAnsi"/>
          <w:color w:val="000000" w:themeColor="text1"/>
        </w:rPr>
        <w:t>S</w:t>
      </w:r>
      <w:r w:rsidR="00E167EA" w:rsidRPr="002B2F8E">
        <w:rPr>
          <w:rFonts w:asciiTheme="minorHAnsi" w:hAnsiTheme="minorHAnsi" w:cstheme="minorHAnsi"/>
          <w:color w:val="000000" w:themeColor="text1"/>
        </w:rPr>
        <w:t xml:space="preserve">tudie </w:t>
      </w:r>
      <w:r w:rsidR="00085675" w:rsidRPr="002B2F8E">
        <w:rPr>
          <w:rFonts w:asciiTheme="minorHAnsi" w:hAnsiTheme="minorHAnsi" w:cstheme="minorHAnsi"/>
          <w:color w:val="000000" w:themeColor="text1"/>
        </w:rPr>
        <w:t xml:space="preserve">proveditelnosti </w:t>
      </w:r>
      <w:r w:rsidR="00E167EA" w:rsidRPr="002B2F8E">
        <w:rPr>
          <w:rFonts w:asciiTheme="minorHAnsi" w:hAnsiTheme="minorHAnsi" w:cstheme="minorHAnsi"/>
          <w:color w:val="000000" w:themeColor="text1"/>
        </w:rPr>
        <w:t xml:space="preserve">jedním z nejnáročnějších dokumentů v oblasti </w:t>
      </w:r>
      <w:r w:rsidR="00085675" w:rsidRPr="002B2F8E">
        <w:rPr>
          <w:rFonts w:asciiTheme="minorHAnsi" w:hAnsiTheme="minorHAnsi" w:cstheme="minorHAnsi"/>
          <w:color w:val="000000" w:themeColor="text1"/>
        </w:rPr>
        <w:t xml:space="preserve">posuzování inovačních záměrů a projektů. Díky tomu však </w:t>
      </w:r>
      <w:r w:rsidR="00E167EA" w:rsidRPr="002B2F8E">
        <w:rPr>
          <w:rFonts w:asciiTheme="minorHAnsi" w:hAnsiTheme="minorHAnsi" w:cstheme="minorHAnsi"/>
          <w:bCs/>
          <w:color w:val="000000" w:themeColor="text1"/>
        </w:rPr>
        <w:t xml:space="preserve">na jejím základě </w:t>
      </w:r>
      <w:r w:rsidR="00085675" w:rsidRPr="002B2F8E">
        <w:rPr>
          <w:rFonts w:asciiTheme="minorHAnsi" w:hAnsiTheme="minorHAnsi" w:cstheme="minorHAnsi"/>
          <w:color w:val="000000" w:themeColor="text1"/>
        </w:rPr>
        <w:t>lze</w:t>
      </w:r>
      <w:r w:rsidR="00085675" w:rsidRPr="002B2F8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E167EA" w:rsidRPr="002B2F8E">
        <w:rPr>
          <w:rFonts w:asciiTheme="minorHAnsi" w:hAnsiTheme="minorHAnsi" w:cstheme="minorHAnsi"/>
          <w:bCs/>
          <w:color w:val="000000" w:themeColor="text1"/>
        </w:rPr>
        <w:t xml:space="preserve">již </w:t>
      </w:r>
      <w:r w:rsidR="00085675" w:rsidRPr="002B2F8E">
        <w:rPr>
          <w:rFonts w:asciiTheme="minorHAnsi" w:hAnsiTheme="minorHAnsi" w:cstheme="minorHAnsi"/>
          <w:bCs/>
          <w:color w:val="000000" w:themeColor="text1"/>
        </w:rPr>
        <w:t xml:space="preserve">činit </w:t>
      </w:r>
      <w:r w:rsidR="00E167EA" w:rsidRPr="002B2F8E">
        <w:rPr>
          <w:rFonts w:asciiTheme="minorHAnsi" w:hAnsiTheme="minorHAnsi" w:cstheme="minorHAnsi"/>
          <w:bCs/>
          <w:color w:val="000000" w:themeColor="text1"/>
        </w:rPr>
        <w:t xml:space="preserve">celkem spolehlivé závěry o perspektivnosti </w:t>
      </w:r>
      <w:r w:rsidR="00085675" w:rsidRPr="002B2F8E">
        <w:rPr>
          <w:rFonts w:asciiTheme="minorHAnsi" w:hAnsiTheme="minorHAnsi" w:cstheme="minorHAnsi"/>
          <w:bCs/>
          <w:color w:val="000000" w:themeColor="text1"/>
        </w:rPr>
        <w:t>posuzovaného inovačního záměru či projektu</w:t>
      </w:r>
      <w:r w:rsidR="00E167EA" w:rsidRPr="002B2F8E">
        <w:rPr>
          <w:rFonts w:asciiTheme="minorHAnsi" w:hAnsiTheme="minorHAnsi" w:cstheme="minorHAnsi"/>
          <w:bCs/>
          <w:color w:val="000000" w:themeColor="text1"/>
        </w:rPr>
        <w:t>.</w:t>
      </w:r>
      <w:r w:rsidR="00E167EA" w:rsidRPr="002B2F8E">
        <w:rPr>
          <w:rFonts w:asciiTheme="minorHAnsi" w:hAnsiTheme="minorHAnsi" w:cstheme="minorHAnsi"/>
          <w:color w:val="545454"/>
          <w:sz w:val="18"/>
          <w:szCs w:val="18"/>
        </w:rPr>
        <w:t xml:space="preserve"> </w:t>
      </w:r>
      <w:bookmarkStart w:id="0" w:name="_GoBack"/>
      <w:bookmarkEnd w:id="0"/>
    </w:p>
    <w:p w:rsidR="00E167EA" w:rsidRPr="002B2F8E" w:rsidRDefault="00E167EA" w:rsidP="001B1971">
      <w:pPr>
        <w:pStyle w:val="Normln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545454"/>
          <w:sz w:val="18"/>
          <w:szCs w:val="18"/>
        </w:rPr>
      </w:pPr>
    </w:p>
    <w:sectPr w:rsidR="00E167EA" w:rsidRPr="002B2F8E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CA2"/>
    <w:multiLevelType w:val="multilevel"/>
    <w:tmpl w:val="AA9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6AEA"/>
    <w:multiLevelType w:val="multilevel"/>
    <w:tmpl w:val="CB72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B6C8D"/>
    <w:multiLevelType w:val="multilevel"/>
    <w:tmpl w:val="4A4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DB"/>
    <w:rsid w:val="00085675"/>
    <w:rsid w:val="001B1971"/>
    <w:rsid w:val="0022131C"/>
    <w:rsid w:val="002B2F8E"/>
    <w:rsid w:val="00381CE7"/>
    <w:rsid w:val="007B6328"/>
    <w:rsid w:val="008A65E2"/>
    <w:rsid w:val="008E39F3"/>
    <w:rsid w:val="0090551E"/>
    <w:rsid w:val="0093662C"/>
    <w:rsid w:val="00980FCD"/>
    <w:rsid w:val="00AA6CDB"/>
    <w:rsid w:val="00B85D76"/>
    <w:rsid w:val="00BA6CFC"/>
    <w:rsid w:val="00C118E0"/>
    <w:rsid w:val="00C15404"/>
    <w:rsid w:val="00D03F19"/>
    <w:rsid w:val="00D4378F"/>
    <w:rsid w:val="00DA5CAE"/>
    <w:rsid w:val="00E167EA"/>
    <w:rsid w:val="00E37577"/>
    <w:rsid w:val="00F16A0D"/>
    <w:rsid w:val="00F766DA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EDFE"/>
  <w15:docId w15:val="{FBF324A3-3FEC-4346-9360-86A9C6CA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paragraph" w:styleId="Nadpis2">
    <w:name w:val="heading 2"/>
    <w:basedOn w:val="Normln"/>
    <w:link w:val="Nadpis2Char"/>
    <w:uiPriority w:val="9"/>
    <w:qFormat/>
    <w:rsid w:val="009055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6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55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0551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66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366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11</cp:revision>
  <dcterms:created xsi:type="dcterms:W3CDTF">2020-02-01T17:51:00Z</dcterms:created>
  <dcterms:modified xsi:type="dcterms:W3CDTF">2020-02-16T14:43:00Z</dcterms:modified>
</cp:coreProperties>
</file>